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0E" w:rsidRDefault="0086080E" w:rsidP="0086080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86080E" w:rsidRPr="0086080E" w:rsidRDefault="0086080E" w:rsidP="0086080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Порядок оформления статьи для публикации в сетевом научно-практическом издании «Антология Российской психотерапии и психологии»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1. Требования к автору при подаче статьи: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Статьи подаются в виде комплекта файлов:</w:t>
      </w:r>
    </w:p>
    <w:p w:rsidR="0086080E" w:rsidRPr="0086080E" w:rsidRDefault="0086080E" w:rsidP="0086080E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один файл формата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Word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содержащий </w:t>
      </w: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ПОЛНЫЙ ТЕКСТ СТАТЬИ вместе со всеми таблицами и иллюстрациями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86080E" w:rsidRPr="0086080E" w:rsidRDefault="0086080E" w:rsidP="0086080E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комплект графических файлов формата PNG или JPEG, каждый из которых должен содержать </w:t>
      </w: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одну иллюстрацию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(рисунок) в отдельности.</w:t>
      </w:r>
    </w:p>
    <w:p w:rsidR="0086080E" w:rsidRPr="0086080E" w:rsidRDefault="0086080E" w:rsidP="0086080E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названии документа ОБЯЗАТЕЛЬНО указывается название мероприятия, на которое подается статья, и фамилия автора.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2. Порядок изложения ПОЛНОГО ТЕКСТА СТАТЬИ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титульная страница на русском языке, которая должна содержать название статьи, а также фамилию, имя и отчество каждого автора с указанием адреса электронной почты, научного звания и места его работы;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резюме (аннотация) объемом не более 400 слов и ключевые слова (в количестве от трех до десяти) на русском языке;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полный текст статьи на русском языке;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список литературы на русском языке;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титульная страница на английском языке, которая должна содержать название статьи, а также фамилию и имя каждого автора с указанием адреса электронной почты, научного звания и места его работы;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резюме (аннотация) и ключевые слова на английском языке;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список литературы на английском языке с транслитерацией (см. п.5);</w:t>
      </w:r>
    </w:p>
    <w:p w:rsidR="0086080E" w:rsidRPr="0086080E" w:rsidRDefault="0086080E" w:rsidP="0086080E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при необходимости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 разрешение на воспроизведение ранее опубликованного материала и на использование иллюстраций, позволяющих опознать изображенных на них людей (см. п.6).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3. Ссылки на источники литературы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Для указания источников литературы используются библиографические ссылки, которые указываются в списке литературы.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 все источники, включенные в список литературы, в тексте статьи должны быть приведены отсылки в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Отсылка на источник представляет собой только номер источника из списка литературы и указывается в квадратных скобках. Пример: [5].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случае нескольких источников номера источников заключаются в единые квадратные скобки, между источниками ставится точка с запятой. Источники перечисляются по возрастанию. Пример: [3; 10].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цитировании в квадратных скобках после номера источника через запятую указываются страницы. Пример: [4, с.12].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4. Список литературы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Список литературы включает только достоверные и доступные через обычные библиографические источники издания. </w:t>
      </w: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Все библиографические источники даются нумерованным списком, в котором перечисляются по алфавиту (сначала источники на кириллице, затем на латинице)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Каждая ссылка должна быть сверена автором с оригинальными документами. Не должно быть ссылок на презентационные постеры, неопубликованные доклады, готовящиеся работы, неопубликованные рукописи или личное общение.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Названия журналов могут быть сокращены в соответствии со стилем, принятом в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IndexMedicus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</w:t>
      </w:r>
      <w:hyperlink r:id="rId5" w:tgtFrame="_blank" w:history="1">
        <w:r w:rsidRPr="0086080E">
          <w:rPr>
            <w:rFonts w:ascii="Verdana" w:eastAsia="Times New Roman" w:hAnsi="Verdana" w:cs="Times New Roman"/>
            <w:color w:val="27386D"/>
            <w:sz w:val="23"/>
            <w:szCs w:val="23"/>
            <w:u w:val="single"/>
            <w:lang w:eastAsia="ru-RU"/>
          </w:rPr>
          <w:t>http://www.nlm.nih.gov</w:t>
        </w:r>
      </w:hyperlink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4.1. Статьи в журналах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Если в статье не более четырех авторов, то указываются все авторы, 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например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</w:t>
      </w:r>
    </w:p>
    <w:p w:rsidR="0086080E" w:rsidRPr="0086080E" w:rsidRDefault="0086080E" w:rsidP="0086080E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Плоткин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Ф.Б., Иванов П.И., Смирнов В.В. Компьютерное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биоуправление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эффективная методика стабилизации ремиссий при алкогольной зависимости. Наркология. — 2011. — № 12. — С.88—91.</w:t>
      </w:r>
    </w:p>
    <w:p w:rsidR="0086080E" w:rsidRPr="0086080E" w:rsidRDefault="0086080E" w:rsidP="0086080E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Vega K.J., Pina I.,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Krevsky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B. Heart transplantation is associated with an increased risk for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pancreatobiliary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disease.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Ann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Intern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Med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2014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Jun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1;124(11):980-3.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Если в статье четыре и более авторов, перечислите первых три автора и добавьте «и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соавт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(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et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al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.)»:</w:t>
      </w:r>
    </w:p>
    <w:p w:rsidR="0086080E" w:rsidRPr="0086080E" w:rsidRDefault="0086080E" w:rsidP="0086080E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Потапов А.А., Есин Р.Г., Михайлов И.И., и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соавт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Алекситимия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— основные направления изучения. Журн. невролог. и 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психиатрии.—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2014.—№12.—С.148—151.</w:t>
      </w:r>
    </w:p>
    <w:p w:rsidR="0086080E" w:rsidRPr="0086080E" w:rsidRDefault="0086080E" w:rsidP="0086080E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Parkin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D.M., Clayton D., Black R.J., et al. Childhood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leukaemiain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Europe after Chernobyl: 5 years follow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up.BrJ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Cancer 2014;73:1006-12.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4.2. Книги, сборники и другие монографии</w:t>
      </w:r>
    </w:p>
    <w:p w:rsidR="0086080E" w:rsidRPr="0086080E" w:rsidRDefault="0086080E" w:rsidP="0086080E">
      <w:pPr>
        <w:numPr>
          <w:ilvl w:val="0"/>
          <w:numId w:val="5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Роджерс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К.Р. Консультирование и психотерапия. Новейшие подходы в области практической работы — М.: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Изл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-во ЭКСМО-Пресс, 2010. — 464с.</w:t>
      </w:r>
    </w:p>
    <w:p w:rsidR="0086080E" w:rsidRPr="0086080E" w:rsidRDefault="0086080E" w:rsidP="0086080E">
      <w:pPr>
        <w:numPr>
          <w:ilvl w:val="0"/>
          <w:numId w:val="5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Norman I.J.,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Redfem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S.J., editors. Mental health care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forelderlypeople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NewYork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: Churchill Livingstone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;2014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4.3. Материалы (доклад) конференции</w:t>
      </w:r>
    </w:p>
    <w:p w:rsidR="0086080E" w:rsidRPr="0086080E" w:rsidRDefault="0086080E" w:rsidP="0086080E">
      <w:pPr>
        <w:numPr>
          <w:ilvl w:val="0"/>
          <w:numId w:val="6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Шварева Е.В. Диагностические возможности исследования современного образа смерти // Материалы международной научно-практической конференции «Психология XXI 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века»(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Санкт-Петербург, 26-28апреля 2012 года). СПб: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Издво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СПбГУ, 2012. С.101—103.</w:t>
      </w:r>
    </w:p>
    <w:p w:rsidR="0086080E" w:rsidRPr="0086080E" w:rsidRDefault="0086080E" w:rsidP="0086080E">
      <w:pPr>
        <w:numPr>
          <w:ilvl w:val="0"/>
          <w:numId w:val="6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Kimura J.,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Shibasaki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H., editors. Recent advances in clinical neurophysiology. Proceedings of the 10th International Congress of EMG and Clinical Neurophysiology; 2013 Oct 15—19; Kyoto, Japan.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Amsterdam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 Elsevier;2013.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4.4. Диссертация</w:t>
      </w:r>
    </w:p>
    <w:p w:rsidR="0086080E" w:rsidRPr="0086080E" w:rsidRDefault="0086080E" w:rsidP="0086080E">
      <w:pPr>
        <w:numPr>
          <w:ilvl w:val="0"/>
          <w:numId w:val="7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Абдулгалимова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С.А. Психологические особенности преодоления страха смерти у старшеклассников с разными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смысложизненными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стратегиями: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дисс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... канд. психол. наук. Р. н/Д., 2010. 160с.</w:t>
      </w:r>
    </w:p>
    <w:p w:rsidR="0086080E" w:rsidRPr="0086080E" w:rsidRDefault="0086080E" w:rsidP="0086080E">
      <w:pPr>
        <w:numPr>
          <w:ilvl w:val="0"/>
          <w:numId w:val="7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Kaplan S.J.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Posthospital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home health care: the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elderly’saccessandutilization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[dissertation].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St.Louis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(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МО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): Washington Univ.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;1995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4.5. Электронные материалы</w:t>
      </w:r>
    </w:p>
    <w:p w:rsidR="0086080E" w:rsidRPr="0086080E" w:rsidRDefault="0086080E" w:rsidP="0086080E">
      <w:pPr>
        <w:numPr>
          <w:ilvl w:val="0"/>
          <w:numId w:val="8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Вараева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Н.В.,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Молькова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Е.В. Комплексная про — грамма социальной и психологической реабилитации и сопровождения семьи и ребенка «Семейный круг» [Электронный ресурс] / Н.В.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Вараева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Е.В.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Молькова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— М.: ФЛИНТА, 2013. — 99с.</w:t>
      </w:r>
    </w:p>
    <w:p w:rsidR="0086080E" w:rsidRPr="0086080E" w:rsidRDefault="0086080E" w:rsidP="0086080E">
      <w:pPr>
        <w:numPr>
          <w:ilvl w:val="0"/>
          <w:numId w:val="8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Animal Assisted Therapy. American Humane Association. Retrieved from http://www.americanhumane.org/interacti ... d-therapy/.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Date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October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20,2015.</w:t>
      </w:r>
    </w:p>
    <w:p w:rsidR="0086080E" w:rsidRPr="0086080E" w:rsidRDefault="0086080E" w:rsidP="0086080E">
      <w:pPr>
        <w:numPr>
          <w:ilvl w:val="0"/>
          <w:numId w:val="8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lastRenderedPageBreak/>
        <w:t xml:space="preserve">CDI, clinical dermatology illustrated [monograph on CD ROM]. Reeves J.P.T.,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Maibach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H. CMEA Multimedia Group, producers.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2nd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ed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Version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2.0.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San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Diego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: CMEA; 1995.</w:t>
      </w:r>
    </w:p>
    <w:p w:rsidR="0086080E" w:rsidRPr="0086080E" w:rsidRDefault="0086080E" w:rsidP="0086080E">
      <w:pPr>
        <w:numPr>
          <w:ilvl w:val="0"/>
          <w:numId w:val="8"/>
        </w:numPr>
        <w:spacing w:before="100" w:beforeAutospacing="1" w:after="100" w:afterAutospacing="1" w:line="338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Hemodynamics III: the 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ups and downs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of hemodynamics [computer program].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Version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2.2.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Orlando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(FL):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Computerized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Educational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Systems;1993.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5. Транслитерация списка литературы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Транслитерация списка литературы делается для размещения информации о статьях в международных библиотеках (системах цитирования), например,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CrossRef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Транслитерация делается по следующим правилам: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 заходе на сайт </w:t>
      </w:r>
      <w:hyperlink r:id="rId6" w:tgtFrame="_blank" w:history="1">
        <w:r w:rsidRPr="0086080E">
          <w:rPr>
            <w:rFonts w:ascii="Verdana" w:eastAsia="Times New Roman" w:hAnsi="Verdana" w:cs="Times New Roman"/>
            <w:color w:val="27386D"/>
            <w:sz w:val="23"/>
            <w:szCs w:val="23"/>
            <w:u w:val="single"/>
            <w:lang w:eastAsia="ru-RU"/>
          </w:rPr>
          <w:t>http://translit.ru</w:t>
        </w:r>
      </w:hyperlink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следует выбрать вариант системы </w:t>
      </w: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Библиотеки Конгресса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(LC), вставить весь текст библиографии на русском языке и нажать кнопку «в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транслит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». При использовании программы следует обратить внимание на появившиеся при транслитерации значки «//» и длинное «—», их необходимо из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транслита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убрать.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Перевод названия статьи, книги или сборника на английский язык дается в квадратных скобках.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Пример 1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Ссылка на статью на русском языке: Гаврилова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Т.А.Страх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смерти в подростковом и юношеском возрасте // Вопросы психологии.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2004. №6.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. 63—71.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Gavrilova T.A.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Strakh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smerti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v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podrostkovom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i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yunosheskom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vozraste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[The fear of death in adolescence and young adulthood].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Voprosy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psikhologii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[Questions of psychology], 2004, no. 6, pp. 63—71.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Пример</w:t>
      </w: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ru-RU"/>
        </w:rPr>
        <w:t xml:space="preserve"> 2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.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Ссылка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книгу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на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русском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языке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Ганзен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.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.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Системные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описания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психологии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. 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.: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Изд</w:t>
      </w:r>
      <w:proofErr w:type="spellEnd"/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-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во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Ленингр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ун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-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та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, 1984. </w:t>
      </w:r>
      <w:proofErr w:type="gram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176</w:t>
      </w:r>
      <w:proofErr w:type="gram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Транслитерация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ссылки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Ganzen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V.A.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Sistemnye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opisaniya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v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>psikhologii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val="en-US" w:eastAsia="ru-RU"/>
        </w:rPr>
        <w:t xml:space="preserve"> [System descriptions in psychology].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Leningrad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: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Publ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 LSU, 1984, 176 p.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6. Дополнительные замечания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6.1. Оригинальная или повторная публикация?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Читатели периодических изданий должны быть уверены в том, что им предлагается оригинальная (ранее неопубликованная) статья. Исключение представляют те случаи, когда имеется согласие и автора, и обоих из —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дателей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(редакторов обоих изданий).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Разрешение на такую повторную публикацию должно быть бесплатным. Приоритетность первичной публикации гарантируется тем, что повторная осуществляется не менее чем через 1 неделю (за исключением случаев, специально оговоренных обоими издателями).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6.2. Защита прав пациента на сохранение конфиденциальности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Пациент имеет право на сохранение конфиденциальности, которое не должно нарушаться без его согласия. Запрещается публиковать любую ин — формацию, позволяющую идентифицировать больного (письменные описания, фотографии, родословную), за исключением тех случаев, когда она представляет большую научную ценность и больной (его родители или опекуны) дал на это письменное согласие. Запрещается искажать или фальсифицировать данные для достижения анонимности. При появлении малейших сомнений необходимо проинформировать больного и получить его согласие на публикацию имеющихся материалов. Не используйте фамилии, инициалы больных и номера историй болезни, особенно на рисунках или фотографиях.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6.3. Статистика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Описывайте статистические методы настолько детально, чтобы грамотный читатель, имеющий доступ к исходным данным, мог проверить полученные Вами результаты. По возможности подвергайте полученные данные количественной оценке и представляйте их с соответствующими показателями ошибок измерения и неопределенности (такими, как доверительные интервалы).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6.4. Таблицы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Приводите каждую таблицу на отдельной странице. Все таблицы должны быть озаглавлены и пронумерованы в порядке первого упоминания в тексте. Все разъяснения следует помещать в примечаниях (сносках), а не в названии таблицы/рисунка.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6.5. Иллюстрации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Иллюстрации должны быть в основном файле статьи, а также в отдельных файлах. Все фотографии, графики, диаграммы должны называться в статье 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словом </w:t>
      </w: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рисунок </w:t>
      </w: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и должны нумероваться последовательно арабскими цифрами, например, (Рис. 3). Текст подписи к иллюстрациям должен находиться сразу за иллюстрацией. В подписях должно быть объяснение употреблённых символов. Размеры рисунков и таблиц должны быть не более одной страницы формата А4 (210). Страницы должны присылаться в оцифрованном виде со следующими параметрами: разрешение 300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dpi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 в форматах TIFF или JPEG.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Кроме того, файлы иллюстраций должны быть заверстаны в текст статьи, причем именно в то место, которое авторы считают наилучшим.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6.6. Единицы измерения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Измерения длины, высоты, ширины и объема должны представляться в метрических единицах (метр, килограмм, литр) или в их десятичных долях. Температуру следует приводить в градусах Цельсия, а артериальное давление — в миллиметрах ртутного столба. Все гематологические и биохимические показатели должны представляться в единицах метрической системы (Международной системы единиц — SI).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6.7. Сокращения и символы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Используйте только стандартные сокращения (аббревиатуры). Не применяйте сокращения в названии статьи и в резюме. Полный термин, вместо которого вводится сокращение, должен предшествовать первому применению этого сокращения тексте (если только это не стандартная единица измерения).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ru-RU"/>
        </w:rPr>
        <w:t>6.8. Лекарственные препараты</w:t>
      </w:r>
    </w:p>
    <w:p w:rsidR="0086080E" w:rsidRPr="0086080E" w:rsidRDefault="0086080E" w:rsidP="0086080E">
      <w:pPr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 описании лекарственных препаратов следует указать активную субстанцию, коммерческое и </w:t>
      </w:r>
      <w:proofErr w:type="spellStart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генерическое</w:t>
      </w:r>
      <w:proofErr w:type="spellEnd"/>
      <w:r w:rsidRPr="0086080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название, фирму-производителя. Описания пост регистрационных клинических испытаний лекарственных препаратов должны обязательно включать информацию о регистрации и разрешении к применению указанных препаратов официальными разрешительными органами (регистрационный номер, дата регистрации).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61FF"/>
    <w:multiLevelType w:val="multilevel"/>
    <w:tmpl w:val="8A0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B40FD"/>
    <w:multiLevelType w:val="multilevel"/>
    <w:tmpl w:val="CECE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20DFE"/>
    <w:multiLevelType w:val="multilevel"/>
    <w:tmpl w:val="D314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D4333"/>
    <w:multiLevelType w:val="multilevel"/>
    <w:tmpl w:val="7922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A388D"/>
    <w:multiLevelType w:val="multilevel"/>
    <w:tmpl w:val="589E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349C3"/>
    <w:multiLevelType w:val="multilevel"/>
    <w:tmpl w:val="EC78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9E2138"/>
    <w:multiLevelType w:val="multilevel"/>
    <w:tmpl w:val="4B88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0EE9"/>
    <w:multiLevelType w:val="multilevel"/>
    <w:tmpl w:val="8C728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E"/>
    <w:rsid w:val="00774A11"/>
    <w:rsid w:val="008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99CCF-32AA-48DD-AF29-59107A8A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lit.ru/" TargetMode="External"/><Relationship Id="rId5" Type="http://schemas.openxmlformats.org/officeDocument/2006/relationships/hyperlink" Target="http://www.nlm.nih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2021-09-18T08:08:00Z</dcterms:created>
  <dcterms:modified xsi:type="dcterms:W3CDTF">2021-09-18T08:18:00Z</dcterms:modified>
</cp:coreProperties>
</file>